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F014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D75FBC0" w14:textId="061EC87E" w:rsidR="00E47586" w:rsidRDefault="00E47586" w:rsidP="001541FB">
      <w:pPr>
        <w:rPr>
          <w:rFonts w:ascii="Barlow" w:hAnsi="Barlow"/>
          <w:b/>
          <w:bCs/>
          <w:sz w:val="24"/>
          <w:szCs w:val="24"/>
          <w:lang w:val="pl-PL"/>
        </w:rPr>
      </w:pPr>
      <w:r w:rsidRPr="00E47586">
        <w:rPr>
          <w:rFonts w:ascii="Barlow" w:hAnsi="Barlow"/>
          <w:b/>
          <w:bCs/>
          <w:sz w:val="24"/>
          <w:szCs w:val="24"/>
          <w:lang w:val="pl-PL"/>
        </w:rPr>
        <w:t xml:space="preserve">Opony całoroczne czy sezonowe - które są lepsze dla ciebie? </w:t>
      </w:r>
    </w:p>
    <w:p w14:paraId="65FE4FD4" w14:textId="64171968" w:rsidR="00E47586" w:rsidRPr="00E47586" w:rsidRDefault="00E47586" w:rsidP="001541FB">
      <w:pPr>
        <w:rPr>
          <w:rFonts w:ascii="Barlow" w:hAnsi="Barlow"/>
          <w:b/>
          <w:bCs/>
          <w:color w:val="0D0D0D" w:themeColor="text1" w:themeTint="F2"/>
          <w:sz w:val="22"/>
          <w:szCs w:val="22"/>
          <w:lang w:val="pl-PL"/>
        </w:rPr>
      </w:pPr>
      <w:r w:rsidRPr="00E47586">
        <w:rPr>
          <w:rFonts w:ascii="Barlow" w:hAnsi="Barlow"/>
          <w:b/>
          <w:bCs/>
          <w:color w:val="0D0D0D" w:themeColor="text1" w:themeTint="F2"/>
          <w:sz w:val="22"/>
          <w:szCs w:val="22"/>
          <w:lang w:val="pl-PL"/>
        </w:rPr>
        <w:t xml:space="preserve">Sprawdź w szybkim quizie </w:t>
      </w:r>
      <w:proofErr w:type="spellStart"/>
      <w:r w:rsidRPr="00E47586">
        <w:rPr>
          <w:rFonts w:ascii="Barlow" w:hAnsi="Barlow"/>
          <w:b/>
          <w:bCs/>
          <w:color w:val="0D0D0D" w:themeColor="text1" w:themeTint="F2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hAnsi="Barlow"/>
          <w:b/>
          <w:bCs/>
          <w:color w:val="0D0D0D" w:themeColor="text1" w:themeTint="F2"/>
          <w:sz w:val="22"/>
          <w:szCs w:val="22"/>
          <w:lang w:val="pl-PL"/>
        </w:rPr>
        <w:t>.</w:t>
      </w:r>
    </w:p>
    <w:p w14:paraId="393F8FD4" w14:textId="54EA0E34" w:rsidR="00E47586" w:rsidRPr="00E47586" w:rsidRDefault="001A047D" w:rsidP="00E47586">
      <w:pPr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E47586">
        <w:rPr>
          <w:rFonts w:ascii="Barlow" w:hAnsi="Barlow"/>
          <w:sz w:val="22"/>
          <w:szCs w:val="22"/>
          <w:lang w:val="pl-PL"/>
        </w:rPr>
        <w:t>14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 w:rsidR="00E47586">
        <w:rPr>
          <w:rFonts w:ascii="Barlow" w:hAnsi="Barlow"/>
          <w:sz w:val="22"/>
          <w:szCs w:val="22"/>
          <w:lang w:val="pl-PL"/>
        </w:rPr>
        <w:t>listopada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6C31FF">
        <w:rPr>
          <w:rFonts w:ascii="Barlow" w:hAnsi="Barlow"/>
          <w:sz w:val="22"/>
          <w:szCs w:val="22"/>
          <w:lang w:val="pl-PL"/>
        </w:rPr>
        <w:t>2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04FAD">
        <w:rPr>
          <w:rFonts w:ascii="Barlow" w:hAnsi="Barlow"/>
          <w:sz w:val="22"/>
          <w:szCs w:val="22"/>
          <w:lang w:val="pl-PL"/>
        </w:rPr>
        <w:t xml:space="preserve"> </w:t>
      </w:r>
      <w:r w:rsidR="00E47586" w:rsidRPr="00E47586">
        <w:rPr>
          <w:rFonts w:ascii="Barlow" w:eastAsia="Calibri" w:hAnsi="Barlow"/>
          <w:sz w:val="22"/>
          <w:szCs w:val="22"/>
          <w:lang w:val="pl-PL"/>
        </w:rPr>
        <w:t xml:space="preserve">Jeśli zastanawiasz się, czy opony całoroczne to dobry wybór dla ciebie, czy może warto jednak pozostać przy oponach sezonowych, wykorzystaj </w:t>
      </w:r>
      <w:hyperlink r:id="rId11" w:history="1">
        <w:r w:rsidR="00E47586" w:rsidRPr="00E47586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quiz</w:t>
        </w:r>
      </w:hyperlink>
      <w:r w:rsidR="00E47586" w:rsidRPr="00E47586">
        <w:rPr>
          <w:rFonts w:ascii="Barlow" w:eastAsia="Calibri" w:hAnsi="Barlow"/>
          <w:sz w:val="22"/>
          <w:szCs w:val="22"/>
          <w:lang w:val="pl-PL"/>
        </w:rPr>
        <w:t xml:space="preserve"> przygotowany przez </w:t>
      </w:r>
      <w:proofErr w:type="spellStart"/>
      <w:r w:rsidR="00E47586"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E47586" w:rsidRPr="00E47586">
        <w:rPr>
          <w:rFonts w:ascii="Barlow" w:eastAsia="Calibri" w:hAnsi="Barlow"/>
          <w:sz w:val="22"/>
          <w:szCs w:val="22"/>
          <w:lang w:val="pl-PL"/>
        </w:rPr>
        <w:t>. Wystarczy, że odpowiesz na sześć pytań, a dowiesz się, które opony powinieneś wybrać zależnie od typu samochodu i twojego stylu jazdy.</w:t>
      </w:r>
    </w:p>
    <w:p w14:paraId="567D9035" w14:textId="1B07EC73" w:rsidR="00E47586" w:rsidRPr="00E47586" w:rsidRDefault="00E47586" w:rsidP="00E47586">
      <w:pPr>
        <w:rPr>
          <w:rFonts w:ascii="Barlow" w:eastAsia="Calibri" w:hAnsi="Barlow"/>
          <w:sz w:val="22"/>
          <w:szCs w:val="22"/>
          <w:lang w:val="pl-PL"/>
        </w:rPr>
      </w:pPr>
      <w:r w:rsidRPr="00E47586">
        <w:rPr>
          <w:rFonts w:ascii="Barlow" w:eastAsia="Calibri" w:hAnsi="Barlow"/>
          <w:sz w:val="22"/>
          <w:szCs w:val="22"/>
          <w:lang w:val="pl-PL"/>
        </w:rPr>
        <w:t xml:space="preserve">Segment opon całorocznych rośnie w Polsce bardzo szybko i przybywa kierowców, którzy zastanawiają się, czy to inwestycja warta uwagi. Kusi oszczędność – jeden komplet opon zamiast dwóch i mniej wizyt w </w:t>
      </w:r>
      <w:r w:rsidR="006134F5">
        <w:rPr>
          <w:rFonts w:ascii="Barlow" w:eastAsia="Calibri" w:hAnsi="Barlow"/>
          <w:sz w:val="22"/>
          <w:szCs w:val="22"/>
          <w:lang w:val="pl-PL"/>
        </w:rPr>
        <w:t>serwisie</w:t>
      </w:r>
      <w:r w:rsidRPr="00E47586">
        <w:rPr>
          <w:rFonts w:ascii="Barlow" w:eastAsia="Calibri" w:hAnsi="Barlow"/>
          <w:sz w:val="22"/>
          <w:szCs w:val="22"/>
          <w:lang w:val="pl-PL"/>
        </w:rPr>
        <w:t xml:space="preserve">, skoro znika konieczność sezonowej wymiany. Ale czy opona całoroczna sprawdzi się w przypadku każdego kierowcy? Ważne jest na przykład, jakim typem auta jeździsz i jak duże odległości pokonujesz. Quiz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pomoże ci to ocenić: </w:t>
      </w:r>
      <w:hyperlink r:id="rId12" w:history="1">
        <w:r w:rsidRPr="00F23791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https://www.goodyear.eu/pl_pl/consumer/why-goodyear/winter-quiz.html</w:t>
        </w:r>
      </w:hyperlink>
      <w:r>
        <w:rPr>
          <w:rFonts w:ascii="Barlow" w:eastAsia="Calibri" w:hAnsi="Barlow"/>
          <w:sz w:val="22"/>
          <w:szCs w:val="22"/>
          <w:lang w:val="pl-PL"/>
        </w:rPr>
        <w:t>.</w:t>
      </w:r>
    </w:p>
    <w:p w14:paraId="2A121314" w14:textId="323A9E9D" w:rsidR="00E47586" w:rsidRPr="00E47586" w:rsidRDefault="00E47586" w:rsidP="00E47586">
      <w:pPr>
        <w:rPr>
          <w:rFonts w:ascii="Barlow" w:eastAsia="Calibri" w:hAnsi="Barlow"/>
          <w:sz w:val="22"/>
          <w:szCs w:val="22"/>
          <w:lang w:val="pl-PL"/>
        </w:rPr>
      </w:pPr>
      <w:r w:rsidRPr="00E47586">
        <w:rPr>
          <w:rFonts w:ascii="Barlow" w:eastAsia="Calibri" w:hAnsi="Barlow"/>
          <w:sz w:val="22"/>
          <w:szCs w:val="22"/>
          <w:lang w:val="pl-PL"/>
        </w:rPr>
        <w:t xml:space="preserve">W badaniu przeprowadzonym niedawno na zlecenie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>, 82% polskich kierowców zadeklarowało, że zmienia opony w swoich autach przed zimą, 15% wybiera opony całoroczne, a 3% przyznaje się do jazdy na sezonowych przez okrągły rok (z czego 1% na oponach letnich w zimie). Porównując ten wynik do podobnych pod względem pogody Niemiec, gdzie na sezonowych jeździ 58% badanych kierowców, a na całorocznych aż 37%, widać, że istnieje jeszcze spora przestrzeń do wzrostu segmentu opon wielosezonowych w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E47586">
        <w:rPr>
          <w:rFonts w:ascii="Barlow" w:eastAsia="Calibri" w:hAnsi="Barlow"/>
          <w:sz w:val="22"/>
          <w:szCs w:val="22"/>
          <w:lang w:val="pl-PL"/>
        </w:rPr>
        <w:t>Polsce.</w:t>
      </w:r>
    </w:p>
    <w:p w14:paraId="1272A73B" w14:textId="30D37CF5" w:rsidR="00E47586" w:rsidRPr="00E47586" w:rsidRDefault="00E47586" w:rsidP="00E47586">
      <w:pPr>
        <w:rPr>
          <w:rFonts w:ascii="Barlow" w:eastAsia="Calibri" w:hAnsi="Barlow"/>
          <w:sz w:val="22"/>
          <w:szCs w:val="22"/>
          <w:lang w:val="pl-PL"/>
        </w:rPr>
      </w:pPr>
      <w:r w:rsidRPr="00E47586">
        <w:rPr>
          <w:rFonts w:ascii="Barlow" w:eastAsia="Calibri" w:hAnsi="Barlow"/>
          <w:sz w:val="22"/>
          <w:szCs w:val="22"/>
          <w:lang w:val="pl-PL"/>
        </w:rPr>
        <w:t>Badanie pokazało też, że polscy kierowcy – w porównaniu z kierowcami z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E47586">
        <w:rPr>
          <w:rFonts w:ascii="Barlow" w:eastAsia="Calibri" w:hAnsi="Barlow"/>
          <w:sz w:val="22"/>
          <w:szCs w:val="22"/>
          <w:lang w:val="pl-PL"/>
        </w:rPr>
        <w:t>innych 7 europejskich krajów - pokonują relatywnie duże odległości, często po wymagających drogach i w zmiennych warunkach pogodowych, co może tłumaczyć przywiązanie w naszym kraju do opon sezonowych, dedykowanych właśnie takim przypadkom. Prawie jedna trzecia polskich kierowców twierdzi, że pokonuje rocznie ponad 26 tys. km, podczas gdy w Niemczech ten odsetek to tylko 9%, a we Francji jedynie 2%.</w:t>
      </w:r>
      <w:r w:rsidR="0048232B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48232B" w:rsidRPr="0048232B">
        <w:rPr>
          <w:rFonts w:ascii="Barlow" w:eastAsia="Calibri" w:hAnsi="Barlow"/>
          <w:sz w:val="22"/>
          <w:szCs w:val="22"/>
          <w:lang w:val="pl-PL"/>
        </w:rPr>
        <w:t xml:space="preserve">Więcej wniosków z badania dla </w:t>
      </w:r>
      <w:proofErr w:type="spellStart"/>
      <w:r w:rsidR="0048232B" w:rsidRPr="0048232B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48232B" w:rsidRPr="0048232B">
        <w:rPr>
          <w:rFonts w:ascii="Barlow" w:eastAsia="Calibri" w:hAnsi="Barlow"/>
          <w:sz w:val="22"/>
          <w:szCs w:val="22"/>
          <w:lang w:val="pl-PL"/>
        </w:rPr>
        <w:t xml:space="preserve"> można znaleźć </w:t>
      </w:r>
      <w:hyperlink r:id="rId13" w:history="1">
        <w:r w:rsidR="0048232B" w:rsidRPr="0048232B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tutaj</w:t>
        </w:r>
      </w:hyperlink>
      <w:r w:rsidR="0048232B">
        <w:rPr>
          <w:rFonts w:ascii="Barlow" w:eastAsia="Calibri" w:hAnsi="Barlow"/>
          <w:sz w:val="22"/>
          <w:szCs w:val="22"/>
          <w:lang w:val="pl-PL"/>
        </w:rPr>
        <w:t>.</w:t>
      </w:r>
    </w:p>
    <w:p w14:paraId="5386486A" w14:textId="72E7785C" w:rsidR="00E47586" w:rsidRPr="00E47586" w:rsidRDefault="00E47586" w:rsidP="00E47586">
      <w:pPr>
        <w:ind w:left="3476"/>
        <w:rPr>
          <w:rFonts w:ascii="Barlow" w:eastAsia="Calibri" w:hAnsi="Barlow"/>
          <w:sz w:val="22"/>
          <w:szCs w:val="22"/>
          <w:lang w:val="pl-PL"/>
        </w:rPr>
      </w:pP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był pierwszym producentem, który wprowadził na rynek opony całoroczne oznaczone symbolem trzech szczytów górskich 3PMSF, znanym z</w:t>
      </w:r>
      <w:r>
        <w:rPr>
          <w:rFonts w:ascii="Barlow" w:eastAsia="Calibri" w:hAnsi="Barlow"/>
          <w:sz w:val="22"/>
          <w:szCs w:val="22"/>
          <w:lang w:val="pl-PL"/>
        </w:rPr>
        <w:t> </w:t>
      </w:r>
      <w:r w:rsidRPr="00E47586">
        <w:rPr>
          <w:rFonts w:ascii="Barlow" w:eastAsia="Calibri" w:hAnsi="Barlow"/>
          <w:sz w:val="22"/>
          <w:szCs w:val="22"/>
          <w:lang w:val="pl-PL"/>
        </w:rPr>
        <w:t>„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zimówek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”, który potwierdza spełnienie przez oponę rygorystycznych </w:t>
      </w:r>
      <w:r w:rsidRPr="00E47586">
        <w:rPr>
          <w:rFonts w:ascii="Barlow" w:eastAsia="Calibri" w:hAnsi="Barlow"/>
          <w:sz w:val="22"/>
          <w:szCs w:val="22"/>
          <w:lang w:val="pl-PL"/>
        </w:rPr>
        <w:lastRenderedPageBreak/>
        <w:t xml:space="preserve">testowych norm niezawodności na śniegu. Symbol 3PMSF można znaleźć na przykład na oponach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Vector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4Seasons Gen-3, których zakup do końca roku (lub do wyczerpania zapasów) objęty jest promocją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cash-back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ze zwrotem do 200 zł w gotówce. Ta sama akcja dotyczy modeli zimowych, np. opon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UltraGrip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Performance+, które - podobnie jak </w:t>
      </w:r>
      <w:proofErr w:type="spellStart"/>
      <w:r w:rsidRPr="00E47586">
        <w:rPr>
          <w:rFonts w:ascii="Barlow" w:eastAsia="Calibri" w:hAnsi="Barlow"/>
          <w:sz w:val="22"/>
          <w:szCs w:val="22"/>
          <w:lang w:val="pl-PL"/>
        </w:rPr>
        <w:t>Vector</w:t>
      </w:r>
      <w:proofErr w:type="spellEnd"/>
      <w:r w:rsidRPr="00E47586">
        <w:rPr>
          <w:rFonts w:ascii="Barlow" w:eastAsia="Calibri" w:hAnsi="Barlow"/>
          <w:sz w:val="22"/>
          <w:szCs w:val="22"/>
          <w:lang w:val="pl-PL"/>
        </w:rPr>
        <w:t xml:space="preserve"> - oferują najwyższą klasę efektywności energetycznej „A” i dzięki niskim oporom toczenia pozwalają oszczędzić na zużyciu paliwa. Regulamin oraz szczegóły akcji promocyjnej są dostępne na stronie </w:t>
      </w:r>
      <w:hyperlink r:id="rId14" w:history="1">
        <w:r w:rsidRPr="00F23791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www.promocja.goodyear.pl</w:t>
        </w:r>
      </w:hyperlink>
      <w:r>
        <w:rPr>
          <w:rFonts w:ascii="Barlow" w:eastAsia="Calibri" w:hAnsi="Barlow"/>
          <w:sz w:val="22"/>
          <w:szCs w:val="22"/>
          <w:lang w:val="pl-PL"/>
        </w:rPr>
        <w:t>.</w:t>
      </w:r>
    </w:p>
    <w:p w14:paraId="4D7A462F" w14:textId="6194FD5F" w:rsidR="00BA36EB" w:rsidRPr="001541FB" w:rsidRDefault="00BA36EB" w:rsidP="00E47586">
      <w:pPr>
        <w:ind w:left="3476"/>
        <w:rPr>
          <w:rFonts w:ascii="Barlow" w:eastAsia="Calibri" w:hAnsi="Barlow"/>
          <w:sz w:val="22"/>
          <w:szCs w:val="22"/>
          <w:lang w:val="pl-PL"/>
        </w:rPr>
      </w:pPr>
      <w:proofErr w:type="spellStart"/>
      <w:r w:rsidRPr="001541FB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</w:p>
    <w:p w14:paraId="66E34ECA" w14:textId="315BBD8B" w:rsidR="00BA36EB" w:rsidRPr="006139E7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139E7" w:rsidSect="00960D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proofErr w:type="spellStart"/>
      <w:r w:rsidRPr="006139E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139E7">
        <w:rPr>
          <w:rFonts w:ascii="Barlow" w:hAnsi="Barlow"/>
          <w:sz w:val="22"/>
          <w:szCs w:val="22"/>
          <w:lang w:val="pl-PL"/>
        </w:rPr>
        <w:t xml:space="preserve">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</w:t>
      </w:r>
      <w:proofErr w:type="spellStart"/>
      <w:r w:rsidRPr="006139E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6139E7">
        <w:rPr>
          <w:rFonts w:ascii="Barlow" w:hAnsi="Barlow"/>
          <w:sz w:val="22"/>
          <w:szCs w:val="22"/>
          <w:lang w:val="pl-PL"/>
        </w:rPr>
        <w:t xml:space="preserve"> i jej produktach można znaleźć na </w:t>
      </w:r>
      <w:hyperlink r:id="rId21" w:history="1">
        <w:r w:rsidRPr="006139E7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6139E7" w:rsidRPr="006139E7">
        <w:rPr>
          <w:rStyle w:val="Hipercze"/>
          <w:rFonts w:ascii="Barlow" w:hAnsi="Barlow" w:cs="Arial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0D9C" w14:textId="77777777" w:rsidR="00A328B6" w:rsidRDefault="00A328B6">
      <w:pPr>
        <w:spacing w:after="0" w:line="240" w:lineRule="auto"/>
      </w:pPr>
      <w:r>
        <w:separator/>
      </w:r>
    </w:p>
    <w:p w14:paraId="34F91D06" w14:textId="77777777" w:rsidR="00A328B6" w:rsidRDefault="00A328B6"/>
  </w:endnote>
  <w:endnote w:type="continuationSeparator" w:id="0">
    <w:p w14:paraId="1B347D08" w14:textId="77777777" w:rsidR="00A328B6" w:rsidRDefault="00A328B6">
      <w:pPr>
        <w:spacing w:after="0" w:line="240" w:lineRule="auto"/>
      </w:pPr>
      <w:r>
        <w:continuationSeparator/>
      </w:r>
    </w:p>
    <w:p w14:paraId="47AD4F62" w14:textId="77777777" w:rsidR="00A328B6" w:rsidRDefault="00A328B6"/>
  </w:endnote>
  <w:endnote w:type="continuationNotice" w:id="1">
    <w:p w14:paraId="34A13AD2" w14:textId="77777777" w:rsidR="00A328B6" w:rsidRDefault="00A32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BA7B" w14:textId="77777777" w:rsidR="00A328B6" w:rsidRDefault="00A328B6">
      <w:pPr>
        <w:spacing w:after="0" w:line="240" w:lineRule="auto"/>
      </w:pPr>
      <w:r>
        <w:separator/>
      </w:r>
    </w:p>
    <w:p w14:paraId="0E56AF71" w14:textId="77777777" w:rsidR="00A328B6" w:rsidRDefault="00A328B6"/>
  </w:footnote>
  <w:footnote w:type="continuationSeparator" w:id="0">
    <w:p w14:paraId="2F2D36F4" w14:textId="77777777" w:rsidR="00A328B6" w:rsidRDefault="00A328B6">
      <w:pPr>
        <w:spacing w:after="0" w:line="240" w:lineRule="auto"/>
      </w:pPr>
      <w:r>
        <w:continuationSeparator/>
      </w:r>
    </w:p>
    <w:p w14:paraId="74A20BA0" w14:textId="77777777" w:rsidR="00A328B6" w:rsidRDefault="00A328B6"/>
  </w:footnote>
  <w:footnote w:type="continuationNotice" w:id="1">
    <w:p w14:paraId="5BA263DB" w14:textId="77777777" w:rsidR="00A328B6" w:rsidRDefault="00A32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238973581">
    <w:abstractNumId w:val="8"/>
  </w:num>
  <w:num w:numId="2" w16cid:durableId="885873039">
    <w:abstractNumId w:val="16"/>
  </w:num>
  <w:num w:numId="3" w16cid:durableId="496385338">
    <w:abstractNumId w:val="14"/>
  </w:num>
  <w:num w:numId="4" w16cid:durableId="136607976">
    <w:abstractNumId w:val="6"/>
  </w:num>
  <w:num w:numId="5" w16cid:durableId="860125176">
    <w:abstractNumId w:val="17"/>
  </w:num>
  <w:num w:numId="6" w16cid:durableId="670303332">
    <w:abstractNumId w:val="7"/>
  </w:num>
  <w:num w:numId="7" w16cid:durableId="2090731809">
    <w:abstractNumId w:val="0"/>
  </w:num>
  <w:num w:numId="8" w16cid:durableId="1027636390">
    <w:abstractNumId w:val="13"/>
  </w:num>
  <w:num w:numId="9" w16cid:durableId="2021352381">
    <w:abstractNumId w:val="9"/>
  </w:num>
  <w:num w:numId="10" w16cid:durableId="1273708988">
    <w:abstractNumId w:val="2"/>
  </w:num>
  <w:num w:numId="11" w16cid:durableId="890579248">
    <w:abstractNumId w:val="12"/>
  </w:num>
  <w:num w:numId="12" w16cid:durableId="383876188">
    <w:abstractNumId w:val="3"/>
  </w:num>
  <w:num w:numId="13" w16cid:durableId="1639455043">
    <w:abstractNumId w:val="11"/>
  </w:num>
  <w:num w:numId="14" w16cid:durableId="903180172">
    <w:abstractNumId w:val="4"/>
  </w:num>
  <w:num w:numId="15" w16cid:durableId="813329617">
    <w:abstractNumId w:val="1"/>
  </w:num>
  <w:num w:numId="16" w16cid:durableId="1861123219">
    <w:abstractNumId w:val="10"/>
  </w:num>
  <w:num w:numId="17" w16cid:durableId="406460981">
    <w:abstractNumId w:val="1"/>
  </w:num>
  <w:num w:numId="18" w16cid:durableId="1187404509">
    <w:abstractNumId w:val="5"/>
  </w:num>
  <w:num w:numId="19" w16cid:durableId="140175721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4012"/>
    <w:rsid w:val="00204E16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70542"/>
    <w:rsid w:val="00473D2B"/>
    <w:rsid w:val="00474919"/>
    <w:rsid w:val="0047710E"/>
    <w:rsid w:val="0048232B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37A32"/>
    <w:rsid w:val="005400D9"/>
    <w:rsid w:val="0054579C"/>
    <w:rsid w:val="00551233"/>
    <w:rsid w:val="00552403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4F5"/>
    <w:rsid w:val="006139E7"/>
    <w:rsid w:val="00614CF7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2F16"/>
    <w:rsid w:val="006A5337"/>
    <w:rsid w:val="006B446C"/>
    <w:rsid w:val="006B63A6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21E5"/>
    <w:rsid w:val="00745BCD"/>
    <w:rsid w:val="00750131"/>
    <w:rsid w:val="007560A6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28B6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4710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262A"/>
    <w:rsid w:val="00C82C44"/>
    <w:rsid w:val="00C857A2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4FAD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47586"/>
    <w:rsid w:val="00E50A7A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goodyear.eu/pl-pl/polscy-kierowcy-przed-zima-obowiazkowi-w-zmianie-opon-z-wysokimi-przebiegami-i-z-lekiem-przed-mga--wnioski-z-europejskiego-badania-dla-goodyear/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news.goodyear.eu/pl-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dyear.eu/pl_pl/consumer/why-goodyear/winter-quiz.html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pl_pl/consumer/why-goodyear/winter-quiz.html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mocja.goodyear.pl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5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5</cp:revision>
  <cp:lastPrinted>2022-11-14T07:22:00Z</cp:lastPrinted>
  <dcterms:created xsi:type="dcterms:W3CDTF">2022-11-14T07:22:00Z</dcterms:created>
  <dcterms:modified xsi:type="dcterms:W3CDTF">2022-11-14T07:31:00Z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